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>O B E C </w:t>
      </w:r>
      <w:r w:rsidR="002E6E5D"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 xml:space="preserve">   </w:t>
      </w:r>
      <w:r>
        <w:rPr>
          <w:rFonts w:ascii="inherit" w:eastAsia="Times New Roman" w:hAnsi="inherit" w:cs="Times New Roman"/>
          <w:color w:val="353535"/>
          <w:sz w:val="44"/>
          <w:szCs w:val="44"/>
          <w:lang w:eastAsia="sk-SK"/>
        </w:rPr>
        <w:t>P O L O M 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Times New Roman"/>
          <w:b/>
          <w:bCs/>
          <w:color w:val="222222"/>
          <w:kern w:val="36"/>
          <w:sz w:val="48"/>
          <w:szCs w:val="48"/>
          <w:lang w:eastAsia="sk-SK"/>
        </w:rPr>
      </w:pPr>
      <w:r w:rsidRPr="0029735E">
        <w:rPr>
          <w:rFonts w:ascii="Helvetica" w:eastAsia="Times New Roman" w:hAnsi="Helvetica" w:cs="Times New Roman"/>
          <w:b/>
          <w:bCs/>
          <w:color w:val="222222"/>
          <w:kern w:val="36"/>
          <w:sz w:val="36"/>
          <w:szCs w:val="36"/>
          <w:lang w:eastAsia="sk-SK"/>
        </w:rPr>
        <w:t>Všeobecne  záväzné  nariadenie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 xml:space="preserve">č. </w:t>
      </w:r>
      <w:r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>2</w:t>
      </w:r>
      <w:r w:rsidRPr="0029735E"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>/201</w:t>
      </w:r>
      <w:r>
        <w:rPr>
          <w:rFonts w:ascii="inherit" w:eastAsia="Times New Roman" w:hAnsi="inherit" w:cs="Times New Roman"/>
          <w:b/>
          <w:bCs/>
          <w:color w:val="353535"/>
          <w:sz w:val="40"/>
          <w:szCs w:val="40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pacing w:val="22"/>
          <w:sz w:val="28"/>
          <w:szCs w:val="28"/>
          <w:lang w:eastAsia="sk-SK"/>
        </w:rPr>
        <w:t xml:space="preserve">o ochrane ovzdušia a o poplatkoch za znečistenie ovzdušia na území obce </w:t>
      </w:r>
      <w:r>
        <w:rPr>
          <w:rFonts w:ascii="inherit" w:eastAsia="Times New Roman" w:hAnsi="inherit" w:cs="Times New Roman"/>
          <w:color w:val="353535"/>
          <w:spacing w:val="22"/>
          <w:sz w:val="28"/>
          <w:szCs w:val="28"/>
          <w:lang w:eastAsia="sk-SK"/>
        </w:rPr>
        <w:t>POLOMA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Návrh VZN: –  vyvesený na úradnej tabuli obce  dňa :  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13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.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0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2.201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VZN schválené Obecným zastupiteľstvom v 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Polome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  dňa  </w:t>
      </w:r>
      <w:r w:rsidR="003B67A6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26.02.2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01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7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 xml:space="preserve">   pod č. :  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2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/201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 xml:space="preserve">VZN  vyvesené na úradnej tabuli obce </w:t>
      </w:r>
      <w:r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Polome</w:t>
      </w:r>
      <w:r w:rsidR="003B67A6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  dňa : 27</w:t>
      </w:r>
      <w:r w:rsidRPr="0029735E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.</w:t>
      </w:r>
      <w:r w:rsidR="003B67A6">
        <w:rPr>
          <w:rFonts w:ascii="inherit" w:eastAsia="Times New Roman" w:hAnsi="inherit" w:cs="Times New Roman"/>
          <w:i/>
          <w:iCs/>
          <w:color w:val="353535"/>
          <w:sz w:val="24"/>
          <w:szCs w:val="24"/>
          <w:lang w:eastAsia="sk-SK"/>
        </w:rPr>
        <w:t>02.2017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 xml:space="preserve">VZN nadobúda účinnosť dňom </w:t>
      </w:r>
      <w:r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0</w:t>
      </w:r>
      <w:r w:rsidRPr="0029735E"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1.</w:t>
      </w:r>
      <w:r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04</w:t>
      </w:r>
      <w:r w:rsidRPr="0029735E"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.201</w:t>
      </w:r>
      <w:r>
        <w:rPr>
          <w:rFonts w:ascii="inherit" w:eastAsia="Times New Roman" w:hAnsi="inherit" w:cs="Times New Roman"/>
          <w:b/>
          <w:bCs/>
          <w:i/>
          <w:iCs/>
          <w:color w:val="353535"/>
          <w:sz w:val="28"/>
          <w:szCs w:val="28"/>
          <w:lang w:eastAsia="sk-SK"/>
        </w:rPr>
        <w:t>7</w:t>
      </w:r>
    </w:p>
    <w:p w:rsidR="002E6E5D" w:rsidRDefault="002E6E5D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úradná pečiatka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s erbom obce</w:t>
      </w:r>
    </w:p>
    <w:p w:rsidR="0029735E" w:rsidRDefault="002E6E5D" w:rsidP="0029735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 xml:space="preserve">                                                         </w:t>
      </w:r>
      <w:r w:rsidR="0029735E"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za obec :</w:t>
      </w:r>
    </w:p>
    <w:p w:rsidR="002E6E5D" w:rsidRPr="0029735E" w:rsidRDefault="002E6E5D" w:rsidP="0029735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</w:p>
    <w:p w:rsidR="0029735E" w:rsidRPr="0029735E" w:rsidRDefault="0029735E" w:rsidP="002E6E5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Obecné zastupiteľstvo v </w:t>
      </w:r>
      <w:r>
        <w:rPr>
          <w:rFonts w:ascii="inherit" w:eastAsia="Times New Roman" w:hAnsi="inherit" w:cs="Times New Roman"/>
          <w:color w:val="353535"/>
          <w:lang w:eastAsia="sk-SK"/>
        </w:rPr>
        <w:t>Polome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 na základe prenesenej pôsobnosti podľa § 6 ods. 2 zákona č. 102/2010, ktorým sa mení a dopĺňa zákon Slovenskej národnej rady č. 369/1990 Zb. o obecnom zriadení v znení neskorších predpisov a o zmene a doplnení niektorých zákonov, podľa § 22 a § 27 zákona č. 137/2010 o ovzduší a podľa § 2 ods. 2 a § 6 ods. 4 a 5 zákona č. 401/1998 o poplatkoch za znečisťovanie ovzdušia schválilo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 xml:space="preserve">VŠEOBECNE ZÁVÄZNÉ NARIADENIE OBCE 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POLOMA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 xml:space="preserve">č. 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2</w:t>
      </w: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/201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 xml:space="preserve">O OCHRANE OVZDUŠIA A O POPLATKOCH ZA ZNEČISŤOVANIE OVZDUŠIA NA ÚZEMÍ OBCE </w:t>
      </w:r>
      <w:r>
        <w:rPr>
          <w:rFonts w:ascii="Century Gothic" w:eastAsia="Times New Roman" w:hAnsi="Century Gothic" w:cs="Times New Roman"/>
          <w:b/>
          <w:bCs/>
          <w:color w:val="353535"/>
          <w:sz w:val="32"/>
          <w:szCs w:val="32"/>
          <w:lang w:eastAsia="sk-SK"/>
        </w:rPr>
        <w:t>POLOMA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I. ČASŤ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ÚVODNÉ USTANOVENIA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1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lastRenderedPageBreak/>
        <w:t>Predmet nariadenia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Toto všeobecne záväzné nariadenie (ďalej len VZN):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– vymedzuje základné pojmy, práva a povinnosti právnických a fyzických osôb pri ochrane ovzdušia na území obce </w:t>
      </w:r>
      <w:r>
        <w:rPr>
          <w:rFonts w:ascii="inherit" w:eastAsia="Times New Roman" w:hAnsi="inherit" w:cs="Times New Roman"/>
          <w:color w:val="353535"/>
          <w:lang w:eastAsia="sk-SK"/>
        </w:rPr>
        <w:t>Poloma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 (ďalej len obec),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určuje pôsobnosť obce ako orgánu štátnej správy ochrany ovzdušia,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stanovuje poplatky za znečisťovanie ovzdušia prevádzkovaním malých zdrojov znečisťovania ovzdušia, pričom poplatková povinnosť a oznamovacia povinnosť sa vzťahuje len na právnické a fyzické osoby oprávnené na podnikanie,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určuje zodpovednosť za porušenie povinnosti na úseku ochrany ovzdušia.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II. ČASŤ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ZÁKLADNÉ USTANOVENIA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2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Základné pojmy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Malými zdrojmi znečisťovania ovzdušia (ďalej len malý zdroj) sú: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a) technologické celky obsahujúce stacionárne zariadenia na spaľovanie palív so súhrnným tepelným príkonom do 300 kW,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b) ostatné technologické celky nepatriace do kategórie veľkých zdrojov znečisťovania ovzdušia (nad 50 MW) a stredných zdrojov znečisťovania ovzdušia (0,3 MW- 50MW),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c) plochy, na ktorých sa vykonávajú práce, ktoré môžu spôsobovať znečisťovanie ovzdušia,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d) skládky palív, surovín, produktov a odpadov, ak nie sú súčasťou veľkých alebo stredných zdrojov znečisťovania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e) stavby, zariadenia a činnosti výrazne znečisťujúce ovzdušie, ak nie sú súčasťou veľkých alebo stredných zdrojov znečisťovania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Znečisťujúcou látkou je akákoľvek látka vnášaná ľudskou činnosťou priamo alebo nepriamo do ovzdušia, ktorá má alebo môže mať škodlivé účinky na zdravie ľudí alebo životné prostredie.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(3) Prevádzkovateľom malého zdroja znečisťovania sa rozumie právnická alebo fyzická osoba , ktorá má právo alebo možnosť prevádzkovať tento zdroj.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(4) Pri pochybnostiach o vymedzení malého zdroja znečisťovania ovzdušia, o začlenení a jeho kategorizácii rozhodne O</w:t>
      </w:r>
      <w:r>
        <w:rPr>
          <w:rFonts w:ascii="inherit" w:eastAsia="Times New Roman" w:hAnsi="inherit" w:cs="Times New Roman"/>
          <w:color w:val="353535"/>
          <w:lang w:eastAsia="sk-SK"/>
        </w:rPr>
        <w:t>Ú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 xml:space="preserve"> ŽP </w:t>
      </w:r>
      <w:r>
        <w:rPr>
          <w:rFonts w:ascii="inherit" w:eastAsia="Times New Roman" w:hAnsi="inherit" w:cs="Times New Roman"/>
          <w:color w:val="353535"/>
          <w:lang w:eastAsia="sk-SK"/>
        </w:rPr>
        <w:t>Sabinov</w:t>
      </w:r>
      <w:r w:rsidRPr="0029735E">
        <w:rPr>
          <w:rFonts w:ascii="inherit" w:eastAsia="Times New Roman" w:hAnsi="inherit" w:cs="Times New Roman"/>
          <w:color w:val="353535"/>
          <w:lang w:eastAsia="sk-SK"/>
        </w:rPr>
        <w:t>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3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Povinnosti prevádzkovateľov malých zdrojov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Prevádzkovatelia malých zdrojov sú povinní: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a) uvádzať do prevádzky a prevádzkovať stacionárne zdroje v súlade s dokumentáciou a s podmienkami určenými obcou: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požiadať obec o vydanie rozhodnutia o povolení stavieb malých zdrojov vrátane ich zmien a rozhodnutí na ich užívanie, tento súhlas je záväzným stanoviskom (§ 17 ods. 1 písm. a) Zákona o ovzduší č. 137/2010)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požiadať obec o vydanie súhlasu na zmeny používaných palív a surovín, na zmeny technologických zariadení malých zdrojov, na zmeny ich využívania a na ich prevádzku po vykonaných zmenách (§ 17 ods. 1 písm. c) Zákona o ovzduší č. 137/2010)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požiadať obec o vydanie súhlasu na inštaláciu technologických celkov patriacich do kategórie malých zdrojov, na ich zmeny a na ich prevádzku, ak ich povoľovanie nepodlieha stavebnému konaniu, (§ 17 ods. 1 písm. f) Zákona o ovzduší č. 137/2010)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b) umožniť prístup zamestnancom inšpekcie a obce alebo týmito orgánmi povereným osobám ku malým zdrojom na účel zistenia množstva znečisťujúcich látok a kontroly malého zdroja a jeho prevádzky a predkladať im potrebné podklady,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c) vykonať opatrenia na nápravu uložené obcou alebo inšpekciou,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d) viesť prevádzkovú evidenciu o malých zdrojoch a poskytovať obvodnému úradu životného prostredia ustanovené údaje a na požiadanie poskytovať tieto aj ďalšie údaje potrebné na zistenie stavu ovzdušia orgánom ochrany ovzdušia alebo týmito orgánmi povereným právnickým osobám,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e) neprekročiť ustanovenú tmavosť dymu.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f) v zariadeniach na spaľovanie palín sa nesmú spaľovať iné palivá, než určené výrobcom zariadení, príp. uvedené v schválenom súbore technicko-prevádzkových parametroch a technicko- organizačných opatrení na zabezpečenie prevádzky zdrojov alebo uvedené v súhlase obce.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Povinnosti podľa odseku 1 písm. b) a d) sa vzťahujú len na právnické osoby a na fyzické osoby – podnikateľov.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4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Pôsobnosť obce na úseku ochrany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Obec pri prenesenom výkone štátnej správy v oblasti ochrany ovzdušia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a) sa podieľa na vypracovaní a realizácii programu a integrovaného programu,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b) kontroluje dodržiavanie povinností prevádzkovateľov malých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c) vydáva súhlas pre malé zdroje podľa § 17 ods. 1 písm. a), c) a f),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d)uloží prevádzkovateľovi malého zdroja opatrenia na nápravu, ak neplní povinnosti ustanovené Zákonom o ovzduší č. 137/2010 a všeobecne záväznými právnymi predpismi v oblasti ochrany ovzdušia,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e) ukladá prevádzkovateľom malých zdrojov pokuty,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f) môže nariadiť obmedzenie alebo zastavenie prevádzky malého zdroja,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g) môže ustanoviť všeobecne záväzným nariadením zóny s obmedzením prevádzky mobilných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h) určuje rozsah a požiadavky vedenia prevádzkovej evidencie malých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i) nariadi zastavenie prevádzky malého zdroja, ak sa prevádzkuje bez súhlasu podľa § 17 ods.1 písm. f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Obec v súhlasoch podľa odseku 1 písm. c) môže určiť podmienky prevádzkovania malých zdrojov.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III. ČASŤ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POVINNOSTI NIEKTORÝCH PREVÁDZKOVATEĽOV MALÝCH ZDROJOV,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3"/>
          <w:szCs w:val="23"/>
          <w:lang w:eastAsia="sk-SK"/>
        </w:rPr>
        <w:t>URČOVANIE VÝŠKY POPLATKU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5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Vyčlenenie malých zdrojov, na ktoré sa nevzťahuje poplatková a oznamovacia povinnosť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 xml:space="preserve"> (1) Poplatková ani oznamovacia povinnosť sa nevzťahuje na: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a) malé zdroje, ktoré sú umiestnené v bytoch a rodinných domoch, v stavbách určených na individuálnu rekreáciu, pokiaľ sa tieto zdroje nevyužívajú na podnikanie,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b) malé zdroje, ktoré prevádzkuje obec,</w:t>
      </w:r>
    </w:p>
    <w:p w:rsid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c) malé zdroje, ktoré prevádzkujú školské a zdravotnícke zariadenia,</w:t>
      </w:r>
    </w:p>
    <w:p w:rsidR="0029735E" w:rsidRPr="0029735E" w:rsidRDefault="0029735E" w:rsidP="0029735E">
      <w:pPr>
        <w:shd w:val="clear" w:color="auto" w:fill="FFFFFF"/>
        <w:spacing w:after="23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b/>
          <w:bCs/>
          <w:color w:val="353535"/>
          <w:sz w:val="24"/>
          <w:szCs w:val="24"/>
          <w:lang w:eastAsia="sk-SK"/>
        </w:rPr>
        <w:t>d) malé zdroje, ktoré prevádzkujú sociálne, charitatívne, záujmové a cirkevné organizácie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6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Poplatková povinnosť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Povinnosť platiť poplatky za malé zdroje sa vzťahuje na právnické osoby a na fyzické osoby, ktoré sú podnikateľmi a prevádzkujú malý zdroj na území obce.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Poplatok prevádzkovateľa malého zdroja sa pre každý zdroj určuje:</w:t>
      </w:r>
    </w:p>
    <w:p w:rsidR="0029735E" w:rsidRPr="0029735E" w:rsidRDefault="0029735E" w:rsidP="0029735E">
      <w:pPr>
        <w:shd w:val="clear" w:color="auto" w:fill="FFFFFF"/>
        <w:spacing w:after="2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na kalendárny rok sumou podľa § 8 tohto VZN určenou rozhodnutím obce,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– na základe oznámených údajov podľa § 7 tohto VZN za každý malý zdroj podľa spotreby palív a surovín, z ktorých znečisťujúce látky vznikajú.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§ 7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Oznamovacia povinnosť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 Prevádzkovateľ malého zdroja je povinný oznámiť každoročne do 15. februára obci za každý malý zdroj spotrebu palív a surovín, z ktorých znečisťujúce látky vznikajú (náležitosti oznámenia prevádzkovateľa malého zdroja sú uvedené v prílohe č. 1 tohto VZN).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 Prevádzkovateľ malého zdroja je povinný písomne oznámiť obci aj zánik malého zdroja resp. zmenu prevádzkovateľa malého zdroja do 15 dní odo dňa zániku malého zdroja resp. zmeny a zároveň oznámiť údaje potrebné pre výpočet poplatku za obdobie príslušného roka, v ktorom malý zdroj prevádzkoval.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(3) V oznámení podľa odseku 1) je prevádzkovateľ povinný uviesť: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základné údaje z obchodného alebo živnostenského registra,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miesto prevádzky malého zdroja,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umiestnenie, typ a príkon malého zdroja,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množstvo a druh použitého paliva a surovín za uplynulý rok,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počet prevádzkových hodín malého zdroja,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</w:t>
      </w:r>
      <w:r>
        <w:rPr>
          <w:rFonts w:ascii="Symbol" w:eastAsia="Times New Roman" w:hAnsi="Symbol" w:cs="Times New Roman"/>
          <w:color w:val="111111"/>
          <w:sz w:val="20"/>
          <w:szCs w:val="20"/>
          <w:lang w:eastAsia="sk-SK"/>
        </w:rPr>
        <w:t>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druh a účinnosť odlučovacích zariadení.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(4)Obec preskúma údaje uvedené v oznámení a na základe množstva a škodlivosti znečisťujúcich látok vypustených do ovzdušia alebo spotreby palív a surovín vydá rozhodnutie, v ktorom určí ročný poplatok prevádzkovateľa malého zdroja za znečisťovanie ovzdušia v predchádzajúcom roku, výšku a termíny splátok poplatku a ďalšie podmienky týkajúce sa poplatkovej povinnosti prevádzkovateľa malého zdroja.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(5)Povinnosti podľa odseku 1 sa vzťahujú len na právnické osoby a fyzické osoby oprávnené na podnikanie.</w:t>
      </w:r>
    </w:p>
    <w:p w:rsidR="0029735E" w:rsidRPr="0029735E" w:rsidRDefault="0029735E" w:rsidP="0029735E">
      <w:pPr>
        <w:numPr>
          <w:ilvl w:val="0"/>
          <w:numId w:val="1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222222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Povinnosť podľa odseku 1 sa nevzťahuje na prevádzkovateľa prevádzkujúceho </w:t>
      </w:r>
      <w:r w:rsidRPr="002973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malý zdroj na plynné palivo.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sz w:val="24"/>
          <w:szCs w:val="24"/>
          <w:lang w:eastAsia="sk-SK"/>
        </w:rPr>
        <w:t>§ 8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353535"/>
          <w:lang w:eastAsia="sk-SK"/>
        </w:rPr>
        <w:t>Výška poplatku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(1) Obec preskúma údaje uvedené v oznámení a vydá rozhodnutie, v ktorom určí ročný poplatok prevádzkovateľa malého zdroja za predchádzajúci rok a ďalšie podmienky týkajúce sa poplatkovej povinnosti prevádzkovateľa malého zdroja.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lang w:eastAsia="sk-SK"/>
        </w:rPr>
        <w:t>(2) Výška poplatku pre prevádzkovateľa malého zdroja sa pre rok  stanovuje nasledovne:</w:t>
      </w:r>
      <w:r w:rsidRPr="0029735E">
        <w:rPr>
          <w:rFonts w:ascii="inherit" w:eastAsia="Times New Roman" w:hAnsi="inherit" w:cs="Times New Roman"/>
          <w:color w:val="111111"/>
          <w:lang w:eastAsia="sk-SK"/>
        </w:rPr>
        <w:t>Poplatok za malý zdroj spaľujúci pevné palivo, za každú spotrebovanú aj začatú 1 tonu</w:t>
      </w:r>
    </w:p>
    <w:p w:rsidR="0029735E" w:rsidRPr="0029735E" w:rsidRDefault="0029735E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  <w:t> </w:t>
      </w:r>
    </w:p>
    <w:tbl>
      <w:tblPr>
        <w:tblW w:w="7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548"/>
        <w:gridCol w:w="1969"/>
        <w:gridCol w:w="1759"/>
        <w:gridCol w:w="887"/>
      </w:tblGrid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a) uhoľné brikety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5,643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b) hnedé uhlie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4,979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c) lignit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3,983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d) čierne uhlie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3,319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e) koks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1,992 EUR/rok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f) drevené 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 xml:space="preserve">brikety a </w:t>
            </w:r>
            <w:proofErr w:type="spellStart"/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pelety</w:t>
            </w:r>
            <w:proofErr w:type="spellEnd"/>
          </w:p>
        </w:tc>
        <w:tc>
          <w:tcPr>
            <w:tcW w:w="0" w:type="auto"/>
            <w:gridSpan w:val="2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1,660 EUR/rok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g) drevo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jc w:val="center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1,328 EUR/rok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9735E" w:rsidRPr="0029735E" w:rsidTr="0029735E"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(3) Poplatok za malý zdroj spaľujúci kvapalné palivo, za každú spotrebovanú aj začatú 1 tonu</w:t>
      </w:r>
    </w:p>
    <w:tbl>
      <w:tblPr>
        <w:tblW w:w="75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336"/>
        <w:gridCol w:w="2803"/>
      </w:tblGrid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a) ťažký vykurovací olej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2,987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b) ľahký vykurovací olej</w:t>
            </w:r>
          </w:p>
        </w:tc>
        <w:tc>
          <w:tcPr>
            <w:tcW w:w="0" w:type="auto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2,324 EUR/rok</w:t>
            </w:r>
          </w:p>
        </w:tc>
      </w:tr>
      <w:tr w:rsidR="0029735E" w:rsidRPr="0029735E" w:rsidTr="0029735E">
        <w:trPr>
          <w:trHeight w:val="225"/>
        </w:trPr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after="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c) nafta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29735E" w:rsidRPr="0029735E" w:rsidRDefault="0029735E" w:rsidP="0029735E">
            <w:pPr>
              <w:spacing w:before="240" w:after="240" w:line="240" w:lineRule="auto"/>
              <w:rPr>
                <w:rFonts w:ascii="inherit" w:eastAsia="Times New Roman" w:hAnsi="inherit" w:cs="Times New Roman"/>
                <w:color w:val="353535"/>
                <w:sz w:val="24"/>
                <w:szCs w:val="24"/>
                <w:lang w:eastAsia="sk-SK"/>
              </w:rPr>
            </w:pPr>
            <w:r w:rsidRPr="0029735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sk-SK"/>
              </w:rPr>
              <w:t>1,992 EUR/rok</w:t>
            </w:r>
          </w:p>
        </w:tc>
      </w:tr>
    </w:tbl>
    <w:p w:rsidR="0029735E" w:rsidRPr="0029735E" w:rsidRDefault="0029735E" w:rsidP="0029735E">
      <w:pPr>
        <w:shd w:val="clear" w:color="auto" w:fill="FAFAFA"/>
        <w:spacing w:before="180" w:after="180" w:line="288" w:lineRule="atLeast"/>
        <w:ind w:left="720"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(4) Poplatok za malý zdroj spaľujúci plynné palivo – zemný plyn je 3,319 EUR pri ročnej spotrebe v rozmedzí od 25 000 m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sk-SK"/>
        </w:rPr>
        <w:t>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 do 40 000 m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sk-SK"/>
        </w:rPr>
        <w:t>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 Pri nižšej spotrebe plynného paliva sa poplatok nevyrubuje. V prípade vyššej spotreby sa výška poplatku za malý zdroj určí ako 3,3193-násobok podielu skutočnej spotreby k maximálnej spotrebe uvedenej v prvej vete (40 000 m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sk-SK"/>
        </w:rPr>
        <w:t>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).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(5) K vypočítanému poplatku sa za každých 25 kW príkonu (výkonu) aj začatých malého zdroja pripočíta 3,319 EUR.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(6) Pre ostatné malé zdroje je výška poplatku určovaná individuálne, maximálne 663,87 EUR/rok.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(7) Ročný poplatok prevádzkovateľa pozostáva  zo súčtu poplatkov za všetky ním prevádzkované malé zdroje v obci.</w:t>
      </w:r>
    </w:p>
    <w:p w:rsidR="0029735E" w:rsidRPr="0029735E" w:rsidRDefault="0029735E" w:rsidP="0029735E">
      <w:pPr>
        <w:shd w:val="clear" w:color="auto" w:fill="FAFAFA"/>
        <w:spacing w:before="100" w:beforeAutospacing="1" w:after="100" w:afterAutospacing="1" w:line="288" w:lineRule="atLeast"/>
        <w:ind w:hanging="3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(8) Poplatok je splatný do 15 dní od nadobudnutia právoplatnosti rozhodnutia.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sk-SK"/>
        </w:rPr>
        <w:t>Vymedzenie malého zdroja, na ktoré sa nevzťahuje poplatková povinnosť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Poplatková povinnosť sa nevzťahuje na: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ind w:left="960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a) malý zdroj prevádzkovaný obcou    ,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b) malý zdroj prevádzkovaný základnou školou, materskou školou a inými školskými zariadeniami,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c) malý zdroj prevádzkovaný organizáciou, poskytujúcou všeobecne prospešné služby v oblasti sociálnej pomoci a humanitárnej starostlivosti,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d) malý zdroj prevádzkovaný fyzickou osobou, ak zdroj nie je pravidelne využívaný na podnikateľskú činnosť.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br/>
        <w:t>e) na všetky druhy krbov v podnikateľských objektoch.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t>§ 9</w:t>
      </w: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br/>
        <w:t>Pokuty</w:t>
      </w:r>
    </w:p>
    <w:p w:rsidR="0029735E" w:rsidRPr="0029735E" w:rsidRDefault="0029735E" w:rsidP="0029735E">
      <w:pPr>
        <w:numPr>
          <w:ilvl w:val="0"/>
          <w:numId w:val="2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Za nesplnenie povinnosti uvedenej v § 3, odsek 1, písm. c) tohto všeobecne záväzného nariadenia uloží obec prevádzkovateľovi malého zdroja pokutu do 663,87 EUR.</w:t>
      </w:r>
    </w:p>
    <w:p w:rsidR="0029735E" w:rsidRPr="0029735E" w:rsidRDefault="0029735E" w:rsidP="0029735E">
      <w:pPr>
        <w:numPr>
          <w:ilvl w:val="0"/>
          <w:numId w:val="2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Pokuty a poplatky uložené Obcou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Poloma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sú príjmom obce.</w:t>
      </w:r>
    </w:p>
    <w:p w:rsidR="0029735E" w:rsidRPr="0029735E" w:rsidRDefault="0029735E" w:rsidP="0029735E">
      <w:pPr>
        <w:numPr>
          <w:ilvl w:val="0"/>
          <w:numId w:val="2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Kontrolu dodržiavania ustanovení tohto všeobecne záväzného nariadenia vykonáva obec prostredníctvom starostu obce, poverených zamestnancov obce a hlavného kontrolóra.</w:t>
      </w: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center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t>§ 10</w:t>
      </w:r>
      <w:r w:rsidRPr="0029735E">
        <w:rPr>
          <w:rFonts w:ascii="Century Gothic" w:eastAsia="Times New Roman" w:hAnsi="Century Gothic" w:cs="Times New Roman"/>
          <w:color w:val="111111"/>
          <w:sz w:val="24"/>
          <w:szCs w:val="24"/>
          <w:lang w:eastAsia="sk-SK"/>
        </w:rPr>
        <w:br/>
        <w:t>Záverečné ustanovenia</w:t>
      </w:r>
    </w:p>
    <w:p w:rsidR="0029735E" w:rsidRPr="0029735E" w:rsidRDefault="0029735E" w:rsidP="0029735E">
      <w:pPr>
        <w:numPr>
          <w:ilvl w:val="0"/>
          <w:numId w:val="3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Obecné zastupiteľstvo obce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Poloma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sa na tomto všeobecne záväznom nariadení uznieslo dňa </w:t>
      </w:r>
      <w:r w:rsidR="005B307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26.02.2017</w:t>
      </w:r>
      <w:r w:rsidR="002E6E5D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  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uznesením č. </w:t>
      </w:r>
      <w:r w:rsidR="005B307C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105/9/2017</w:t>
      </w:r>
      <w:r w:rsidR="00880B43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</w:t>
      </w:r>
      <w:bookmarkStart w:id="0" w:name="_GoBack"/>
      <w:bookmarkEnd w:id="0"/>
    </w:p>
    <w:p w:rsidR="0029735E" w:rsidRPr="0029735E" w:rsidRDefault="0029735E" w:rsidP="0029735E">
      <w:pPr>
        <w:numPr>
          <w:ilvl w:val="0"/>
          <w:numId w:val="3"/>
        </w:numPr>
        <w:shd w:val="clear" w:color="auto" w:fill="FAFAFA"/>
        <w:spacing w:after="0" w:line="288" w:lineRule="atLeast"/>
        <w:jc w:val="both"/>
        <w:rPr>
          <w:rFonts w:ascii="inherit" w:eastAsia="Times New Roman" w:hAnsi="inherit" w:cs="Times New Roman"/>
          <w:color w:val="111111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Toto všeobecne záväzné nariadenie nadobúda účinnosť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1.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04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.201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7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</w:t>
      </w:r>
    </w:p>
    <w:p w:rsidR="002E6E5D" w:rsidRDefault="002E6E5D" w:rsidP="0029735E">
      <w:pPr>
        <w:shd w:val="clear" w:color="auto" w:fill="FAFAFA"/>
        <w:spacing w:before="180" w:after="180" w:line="28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:rsidR="002E6E5D" w:rsidRDefault="002E6E5D" w:rsidP="0029735E">
      <w:pPr>
        <w:shd w:val="clear" w:color="auto" w:fill="FAFAFA"/>
        <w:spacing w:before="180" w:after="180" w:line="28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:rsidR="002E6E5D" w:rsidRDefault="002E6E5D" w:rsidP="0029735E">
      <w:pPr>
        <w:shd w:val="clear" w:color="auto" w:fill="FAFAFA"/>
        <w:spacing w:before="180" w:after="180" w:line="28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</w:pPr>
    </w:p>
    <w:p w:rsidR="0029735E" w:rsidRPr="0029735E" w:rsidRDefault="0029735E" w:rsidP="0029735E">
      <w:pPr>
        <w:shd w:val="clear" w:color="auto" w:fill="FAFAFA"/>
        <w:spacing w:before="180" w:after="180" w:line="288" w:lineRule="atLeast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V 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Polome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 xml:space="preserve"> dňa 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13</w:t>
      </w:r>
      <w:r w:rsidRPr="0029735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</w:t>
      </w:r>
      <w:r w:rsidR="00B5516E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03</w:t>
      </w:r>
      <w:r w:rsidR="003B67A6"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.2017</w:t>
      </w:r>
    </w:p>
    <w:p w:rsidR="0029735E" w:rsidRPr="0029735E" w:rsidRDefault="00B5516E" w:rsidP="0029735E">
      <w:pPr>
        <w:shd w:val="clear" w:color="auto" w:fill="FAFAFA"/>
        <w:spacing w:before="180" w:after="180" w:line="288" w:lineRule="atLeast"/>
        <w:ind w:left="4248" w:firstLine="708"/>
        <w:jc w:val="both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sk-SK"/>
        </w:rPr>
        <w:t>Ing. Pavol Hanušovský</w:t>
      </w:r>
    </w:p>
    <w:p w:rsidR="0029735E" w:rsidRPr="0029735E" w:rsidRDefault="002E6E5D" w:rsidP="0029735E">
      <w:pPr>
        <w:shd w:val="clear" w:color="auto" w:fill="FFFFFF"/>
        <w:spacing w:before="100" w:beforeAutospacing="1" w:after="100" w:afterAutospacing="1" w:line="240" w:lineRule="auto"/>
        <w:rPr>
          <w:rFonts w:ascii="inherit" w:eastAsia="Times New Roman" w:hAnsi="inherit" w:cs="Times New Roman"/>
          <w:color w:val="353535"/>
          <w:sz w:val="24"/>
          <w:szCs w:val="24"/>
          <w:lang w:eastAsia="sk-SK"/>
        </w:rPr>
      </w:pPr>
      <w:r>
        <w:rPr>
          <w:rFonts w:ascii="inherit" w:eastAsia="Times New Roman" w:hAnsi="inherit" w:cs="Times New Roman"/>
          <w:color w:val="353535"/>
          <w:lang w:eastAsia="sk-SK"/>
        </w:rPr>
        <w:t xml:space="preserve">                                                                                                    </w:t>
      </w:r>
      <w:r w:rsidR="00B5516E">
        <w:rPr>
          <w:rFonts w:ascii="inherit" w:eastAsia="Times New Roman" w:hAnsi="inherit" w:cs="Times New Roman"/>
          <w:color w:val="353535"/>
          <w:lang w:eastAsia="sk-SK"/>
        </w:rPr>
        <w:t>s</w:t>
      </w:r>
      <w:r w:rsidR="0029735E" w:rsidRPr="0029735E">
        <w:rPr>
          <w:rFonts w:ascii="inherit" w:eastAsia="Times New Roman" w:hAnsi="inherit" w:cs="Times New Roman"/>
          <w:color w:val="353535"/>
          <w:lang w:eastAsia="sk-SK"/>
        </w:rPr>
        <w:t>tarosta obce</w:t>
      </w:r>
    </w:p>
    <w:p w:rsidR="00447B56" w:rsidRDefault="00447B56"/>
    <w:sectPr w:rsidR="00447B56" w:rsidSect="00E8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510"/>
    <w:multiLevelType w:val="multilevel"/>
    <w:tmpl w:val="095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AB366CD"/>
    <w:multiLevelType w:val="multilevel"/>
    <w:tmpl w:val="0A10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1288A"/>
    <w:multiLevelType w:val="multilevel"/>
    <w:tmpl w:val="E30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5E"/>
    <w:rsid w:val="000219A8"/>
    <w:rsid w:val="0029735E"/>
    <w:rsid w:val="002E6E5D"/>
    <w:rsid w:val="003B67A6"/>
    <w:rsid w:val="00447B56"/>
    <w:rsid w:val="005B307C"/>
    <w:rsid w:val="00880B43"/>
    <w:rsid w:val="00B5516E"/>
    <w:rsid w:val="00E87BF7"/>
    <w:rsid w:val="00F2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3940-EEDA-406B-9655-84576E9B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7BF7"/>
  </w:style>
  <w:style w:type="paragraph" w:styleId="Nadpis1">
    <w:name w:val="heading 1"/>
    <w:basedOn w:val="Normlny"/>
    <w:link w:val="Nadpis1Char"/>
    <w:uiPriority w:val="9"/>
    <w:qFormat/>
    <w:rsid w:val="00297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735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zov">
    <w:name w:val="Title"/>
    <w:basedOn w:val="Normlny"/>
    <w:link w:val="NzovChar"/>
    <w:uiPriority w:val="10"/>
    <w:qFormat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973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9735E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9735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735E"/>
    <w:rPr>
      <w:i/>
      <w:iCs/>
    </w:rPr>
  </w:style>
  <w:style w:type="paragraph" w:customStyle="1" w:styleId="default">
    <w:name w:val="default"/>
    <w:basedOn w:val="Normlny"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9735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29735E"/>
  </w:style>
  <w:style w:type="paragraph" w:styleId="Odsekzoznamu">
    <w:name w:val="List Paragraph"/>
    <w:basedOn w:val="Normlny"/>
    <w:uiPriority w:val="34"/>
    <w:qFormat/>
    <w:rsid w:val="00297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1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HANUŠOVSKÝ Pavol</dc:creator>
  <cp:lastModifiedBy>HOVANCOVÁ Irena</cp:lastModifiedBy>
  <cp:revision>5</cp:revision>
  <cp:lastPrinted>2017-03-22T19:38:00Z</cp:lastPrinted>
  <dcterms:created xsi:type="dcterms:W3CDTF">2022-05-20T10:46:00Z</dcterms:created>
  <dcterms:modified xsi:type="dcterms:W3CDTF">2022-05-20T10:48:00Z</dcterms:modified>
</cp:coreProperties>
</file>